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2415696</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 Anhui, China, 14th – 18th October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CSSF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6.15.2.2</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recent RAN plenary 105 meeting</w:t>
      </w:r>
      <w:r>
        <w:rPr>
          <w:rFonts w:hint="default" w:ascii="Arial" w:hAnsi="Arial" w:cs="Arial"/>
          <w:lang w:val="en-US" w:eastAsia="zh-CN"/>
        </w:rPr>
        <w:t xml:space="preserve">, </w:t>
      </w:r>
      <w:r>
        <w:rPr>
          <w:rFonts w:hint="eastAsia" w:cs="Arial"/>
          <w:lang w:val="en-US" w:eastAsia="zh-CN"/>
        </w:rPr>
        <w:t>a revised WID of R19 RRM enhancements has been approved in [1]. We summarize the objectives of the WID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topLinePunct w:val="0"/>
              <w:bidi w:val="0"/>
              <w:snapToGrid/>
              <w:spacing w:before="0" w:after="0" w:line="240" w:lineRule="auto"/>
              <w:rPr>
                <w:color w:val="auto"/>
              </w:rPr>
            </w:pPr>
            <w:r>
              <w:rPr>
                <w:color w:val="auto"/>
              </w:rPr>
              <w:t>Objective of Core part WI</w:t>
            </w:r>
          </w:p>
          <w:p>
            <w:pPr>
              <w:pStyle w:val="29"/>
              <w:pageBreakBefore w:val="0"/>
              <w:numPr>
                <w:ilvl w:val="0"/>
                <w:numId w:val="4"/>
              </w:numPr>
              <w:kinsoku/>
              <w:wordWrap/>
              <w:topLinePunct w:val="0"/>
              <w:bidi w:val="0"/>
              <w:snapToGrid/>
              <w:ind w:left="420" w:leftChars="0" w:hanging="420" w:firstLineChars="0"/>
              <w:jc w:val="both"/>
              <w:rPr>
                <w:lang w:val="en-US"/>
              </w:rPr>
            </w:pPr>
            <w:r>
              <w:t>FR2-1 SSB based L3 measurement delay reduction for connected mode</w:t>
            </w:r>
          </w:p>
          <w:p>
            <w:pPr>
              <w:pageBreakBefore w:val="0"/>
              <w:numPr>
                <w:ilvl w:val="2"/>
                <w:numId w:val="5"/>
              </w:numPr>
              <w:kinsoku/>
              <w:wordWrap/>
              <w:topLinePunct w:val="0"/>
              <w:bidi w:val="0"/>
              <w:snapToGrid/>
              <w:ind w:left="840" w:leftChars="0" w:hanging="420" w:firstLineChars="0"/>
              <w:rPr>
                <w:lang w:val="en-US"/>
              </w:rPr>
            </w:pPr>
            <w:r>
              <w:rPr>
                <w:lang w:val="en-US"/>
              </w:rPr>
              <w:t>For UE</w:t>
            </w:r>
            <w:r>
              <w:rPr>
                <w:rFonts w:hint="eastAsia"/>
                <w:lang w:val="en-US" w:eastAsia="zh-CN"/>
              </w:rPr>
              <w:t xml:space="preserve"> </w:t>
            </w:r>
            <w:r>
              <w:rPr>
                <w:rFonts w:eastAsia="DengXian"/>
                <w:lang w:val="en-US" w:eastAsia="zh-CN"/>
              </w:rPr>
              <w:t>supporting</w:t>
            </w:r>
            <w:r>
              <w:rPr>
                <w:lang w:val="en-US"/>
              </w:rPr>
              <w:t xml:space="preserve"> multiple-Rx simultaneous reception on single carrier: </w:t>
            </w:r>
          </w:p>
          <w:p>
            <w:pPr>
              <w:pageBreakBefore w:val="0"/>
              <w:numPr>
                <w:ilvl w:val="0"/>
                <w:numId w:val="6"/>
              </w:numPr>
              <w:kinsoku/>
              <w:wordWrap/>
              <w:topLinePunct w:val="0"/>
              <w:bidi w:val="0"/>
              <w:snapToGrid/>
              <w:ind w:left="1260" w:leftChars="0" w:hanging="420" w:firstLineChars="0"/>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pPr>
              <w:pageBreakBefore w:val="0"/>
              <w:numPr>
                <w:ilvl w:val="0"/>
                <w:numId w:val="7"/>
              </w:numPr>
              <w:kinsoku/>
              <w:wordWrap/>
              <w:topLinePunct w:val="0"/>
              <w:bidi w:val="0"/>
              <w:snapToGrid/>
              <w:ind w:left="1680" w:leftChars="0" w:hanging="420" w:firstLineChars="0"/>
              <w:rPr>
                <w:strike/>
                <w:lang w:val="en-US"/>
              </w:rPr>
            </w:pPr>
            <w:r>
              <w:rPr>
                <w:lang w:val="en-US"/>
              </w:rPr>
              <w:t>Rx beam sweeping f</w:t>
            </w:r>
            <w:r>
              <w:rPr>
                <w:lang w:val="en-US" w:eastAsia="zh-CN"/>
              </w:rPr>
              <w:t>actor</w:t>
            </w:r>
            <w:r>
              <w:rPr>
                <w:strike/>
                <w:lang w:val="en-US"/>
              </w:rPr>
              <w:t xml:space="preserve"> </w:t>
            </w:r>
          </w:p>
          <w:p>
            <w:pPr>
              <w:pageBreakBefore w:val="0"/>
              <w:numPr>
                <w:ilvl w:val="2"/>
                <w:numId w:val="5"/>
              </w:numPr>
              <w:kinsoku/>
              <w:wordWrap/>
              <w:topLinePunct w:val="0"/>
              <w:bidi w:val="0"/>
              <w:snapToGrid/>
              <w:ind w:left="840" w:leftChars="0" w:hanging="420" w:firstLineChars="0"/>
              <w:rPr>
                <w:lang w:val="en-US"/>
              </w:rPr>
            </w:pPr>
            <w:r>
              <w:rPr>
                <w:rFonts w:ascii="Times" w:hAnsi="Times"/>
                <w:szCs w:val="24"/>
                <w:lang w:val="en-US"/>
              </w:rPr>
              <w:t>The CSSF requirement optimization is defined assuming a UE not operating with multiple-Rx based simultaneous L3 measurement</w:t>
            </w:r>
            <w:r>
              <w:rPr>
                <w:rFonts w:hint="eastAsia" w:ascii="Times" w:hAnsi="Times"/>
                <w:szCs w:val="24"/>
                <w:lang w:val="en-US"/>
              </w:rPr>
              <w:t>:</w:t>
            </w:r>
          </w:p>
          <w:p>
            <w:pPr>
              <w:pageBreakBefore w:val="0"/>
              <w:numPr>
                <w:ilvl w:val="0"/>
                <w:numId w:val="6"/>
              </w:numPr>
              <w:kinsoku/>
              <w:wordWrap/>
              <w:topLinePunct w:val="0"/>
              <w:bidi w:val="0"/>
              <w:snapToGrid/>
              <w:ind w:left="1260" w:leftChars="0" w:hanging="420" w:firstLineChars="0"/>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introduce methods</w:t>
            </w:r>
            <w:r>
              <w:rPr>
                <w:lang w:val="en-US"/>
              </w:rPr>
              <w:t xml:space="preserve"> to reduce </w:t>
            </w:r>
            <w:r>
              <w:t>FR2-1 L3</w:t>
            </w:r>
            <w:r>
              <w:rPr>
                <w:rFonts w:eastAsia="DengXian"/>
                <w:lang w:eastAsia="zh-CN"/>
              </w:rPr>
              <w:t xml:space="preserve"> </w:t>
            </w:r>
            <w:r>
              <w:t>measurement delay</w:t>
            </w:r>
            <w:r>
              <w:rPr>
                <w:lang w:val="en-US"/>
              </w:rPr>
              <w:t xml:space="preserve"> by optimizing:</w:t>
            </w:r>
          </w:p>
          <w:p>
            <w:pPr>
              <w:pageBreakBefore w:val="0"/>
              <w:numPr>
                <w:ilvl w:val="0"/>
                <w:numId w:val="7"/>
              </w:numPr>
              <w:kinsoku/>
              <w:wordWrap/>
              <w:topLinePunct w:val="0"/>
              <w:bidi w:val="0"/>
              <w:snapToGrid/>
              <w:ind w:left="1680" w:leftChars="0" w:hanging="420" w:firstLineChars="0"/>
              <w:rPr>
                <w:rFonts w:eastAsia="Batang"/>
                <w:lang w:val="en-US" w:eastAsia="en-US"/>
              </w:rPr>
            </w:pPr>
            <w:r>
              <w:rPr>
                <w:lang w:val="en-US" w:eastAsia="zh-CN"/>
              </w:rPr>
              <w:t xml:space="preserve"> CSSF </w:t>
            </w:r>
            <w:r>
              <w:rPr>
                <w:rFonts w:eastAsia="DengXian"/>
                <w:lang w:val="en-US" w:eastAsia="zh-CN"/>
              </w:rPr>
              <w:t xml:space="preserve">outside gap in CA/DC scenarios </w:t>
            </w:r>
          </w:p>
          <w:p>
            <w:pPr>
              <w:pageBreakBefore w:val="0"/>
              <w:numPr>
                <w:ilvl w:val="0"/>
                <w:numId w:val="8"/>
              </w:numPr>
              <w:kinsoku/>
              <w:wordWrap/>
              <w:topLinePunct w:val="0"/>
              <w:bidi w:val="0"/>
              <w:snapToGrid/>
              <w:ind w:left="2120" w:leftChars="0" w:hanging="440" w:firstLineChars="0"/>
              <w:rPr>
                <w:rFonts w:eastAsia="Batang"/>
                <w:b w:val="0"/>
                <w:bCs w:val="0"/>
                <w:lang w:val="en-US" w:eastAsia="zh-CN"/>
              </w:rPr>
            </w:pPr>
            <w:r>
              <w:rPr>
                <w:rFonts w:eastAsia="DengXian"/>
                <w:lang w:val="en-US" w:eastAsia="zh-CN"/>
              </w:rPr>
              <w:t>Baseline assumption on number of searcher</w:t>
            </w:r>
            <w:r>
              <w:rPr>
                <w:rFonts w:hint="eastAsia" w:eastAsia="DengXian"/>
                <w:lang w:val="en-US" w:eastAsia="zh-CN"/>
              </w:rPr>
              <w:t>s</w:t>
            </w:r>
            <w:r>
              <w:rPr>
                <w:rFonts w:eastAsia="DengXian"/>
                <w:lang w:val="en-US" w:eastAsia="zh-CN"/>
              </w:rPr>
              <w:t xml:space="preserve"> is 2</w:t>
            </w:r>
          </w:p>
          <w:p>
            <w:pPr>
              <w:pageBreakBefore w:val="0"/>
              <w:numPr>
                <w:ilvl w:val="0"/>
                <w:numId w:val="6"/>
              </w:numPr>
              <w:kinsoku/>
              <w:wordWrap/>
              <w:topLinePunct w:val="0"/>
              <w:bidi w:val="0"/>
              <w:snapToGrid/>
              <w:ind w:left="1260" w:leftChars="0" w:hanging="420" w:firstLineChars="0"/>
              <w:rPr>
                <w:rFonts w:eastAsia="Batang"/>
                <w:lang w:val="en-US" w:eastAsia="zh-CN"/>
              </w:rPr>
            </w:pPr>
            <w:r>
              <w:rPr>
                <w:rFonts w:eastAsia="DengXian"/>
                <w:lang w:val="en-US" w:eastAsia="zh-CN"/>
              </w:rPr>
              <w:t>Note: Rel-19 CSSF optimization applies for CA/DC scenario independently of the UE support of multi-Rx capabilities.</w:t>
            </w:r>
          </w:p>
          <w:p>
            <w:pPr>
              <w:pStyle w:val="4"/>
              <w:pageBreakBefore w:val="0"/>
              <w:kinsoku/>
              <w:wordWrap/>
              <w:topLinePunct w:val="0"/>
              <w:bidi w:val="0"/>
              <w:snapToGrid/>
              <w:spacing w:before="0" w:after="0" w:line="240" w:lineRule="auto"/>
              <w:rPr>
                <w:color w:val="auto"/>
              </w:rPr>
            </w:pPr>
            <w:r>
              <w:rPr>
                <w:color w:val="auto"/>
              </w:rPr>
              <w:t>Objective of Performance part WI</w:t>
            </w:r>
          </w:p>
          <w:p>
            <w:pPr>
              <w:pStyle w:val="52"/>
              <w:pageBreakBefore w:val="0"/>
              <w:kinsoku/>
              <w:wordWrap/>
              <w:topLinePunct w:val="0"/>
              <w:bidi w:val="0"/>
              <w:snapToGrid/>
              <w:spacing w:after="0" w:line="240" w:lineRule="auto"/>
              <w:rPr>
                <w:color w:val="auto"/>
              </w:rPr>
            </w:pPr>
            <w:r>
              <w:rPr>
                <w:color w:val="auto"/>
              </w:rPr>
              <w:t>NOTE:</w:t>
            </w:r>
            <w:r>
              <w:rPr>
                <w:color w:val="auto"/>
              </w:rPr>
              <w:tab/>
            </w:r>
            <w:r>
              <w:rPr>
                <w:color w:val="auto"/>
              </w:rPr>
              <w:t>Leave empty if the WI proposal does not contain a RAN performance part.</w:t>
            </w:r>
          </w:p>
          <w:p>
            <w:pPr>
              <w:pageBreakBefore w:val="0"/>
              <w:kinsoku/>
              <w:wordWrap/>
              <w:topLinePunct w:val="0"/>
              <w:bidi w:val="0"/>
              <w:snapToGrid/>
              <w:spacing w:line="240" w:lineRule="auto"/>
              <w:rPr>
                <w:rFonts w:hint="eastAsia" w:ascii="Arial" w:hAnsi="Arial" w:cs="Arial"/>
                <w:sz w:val="20"/>
                <w:szCs w:val="20"/>
                <w:u w:val="none"/>
                <w:lang w:val="en-US" w:eastAsia="zh-CN"/>
              </w:rPr>
            </w:pPr>
            <w:r>
              <w:rPr>
                <w:rFonts w:eastAsia="Batang"/>
                <w:lang w:val="en-US"/>
              </w:rPr>
              <w:t>Specify RRM performance requirements and test cases for the Core part enhancements.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This revision makes the general condition on CSSF enh more clear. As long as the UE is not operating with multi-Rx based simultaneous L3 measurement, then the CSSF enh can be applicable. Based on this, we believe no need to pay effort to identify the general condition in which CSSF enh can be applicable. Companies could pay more attention to the exact solution itself.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the following progress were achieved and summrized in [2]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spacing w:line="240" w:lineRule="auto"/>
              <w:rPr>
                <w:sz w:val="21"/>
                <w:szCs w:val="21"/>
                <w:lang w:val="en-US"/>
              </w:rPr>
            </w:pPr>
            <w:r>
              <w:rPr>
                <w:sz w:val="21"/>
                <w:szCs w:val="21"/>
                <w:lang w:val="en-US"/>
              </w:rPr>
              <w:t>Issue 2-2: UE measurement procedure to use L3 measurement delay reduction by optimizing CSSF</w:t>
            </w:r>
          </w:p>
          <w:p>
            <w:pPr>
              <w:snapToGrid w:val="0"/>
              <w:spacing w:after="120"/>
              <w:rPr>
                <w:rFonts w:eastAsia="DengXian"/>
                <w:kern w:val="2"/>
                <w:highlight w:val="green"/>
              </w:rPr>
            </w:pPr>
            <w:r>
              <w:rPr>
                <w:rFonts w:eastAsia="DengXian"/>
                <w:kern w:val="2"/>
                <w:highlight w:val="green"/>
              </w:rPr>
              <w:t>Agreement in online session:</w:t>
            </w:r>
          </w:p>
          <w:p>
            <w:pPr>
              <w:numPr>
                <w:ilvl w:val="1"/>
                <w:numId w:val="9"/>
              </w:numPr>
              <w:snapToGrid w:val="0"/>
              <w:spacing w:after="120"/>
              <w:ind w:left="1440"/>
              <w:rPr>
                <w:rFonts w:eastAsia="DengXian"/>
                <w:kern w:val="2"/>
                <w:highlight w:val="green"/>
              </w:rPr>
            </w:pPr>
            <w:r>
              <w:rPr>
                <w:rFonts w:eastAsia="DengXian"/>
                <w:kern w:val="2"/>
                <w:highlight w:val="green"/>
              </w:rPr>
              <w:t>The following aspects in CA/DC to use L3 measurement delay reduction by optimizing CSSF shall be discussed, and further prioritization among the 3 aspects can be discussed in future meeting:</w:t>
            </w:r>
          </w:p>
          <w:p>
            <w:pPr>
              <w:numPr>
                <w:ilvl w:val="2"/>
                <w:numId w:val="9"/>
              </w:numPr>
              <w:snapToGrid w:val="0"/>
              <w:spacing w:after="120"/>
              <w:rPr>
                <w:rFonts w:eastAsia="DengXian"/>
                <w:kern w:val="2"/>
                <w:highlight w:val="green"/>
              </w:rPr>
            </w:pPr>
            <w:r>
              <w:rPr>
                <w:rFonts w:eastAsia="DengXian"/>
                <w:kern w:val="2"/>
                <w:highlight w:val="green"/>
              </w:rPr>
              <w:t>Aspect 1: SSB based Intra-frequency measurement without MG, including:</w:t>
            </w:r>
          </w:p>
          <w:p>
            <w:pPr>
              <w:numPr>
                <w:ilvl w:val="3"/>
                <w:numId w:val="9"/>
              </w:numPr>
              <w:snapToGrid w:val="0"/>
              <w:spacing w:after="120"/>
              <w:rPr>
                <w:rFonts w:eastAsia="DengXian"/>
                <w:kern w:val="2"/>
                <w:highlight w:val="green"/>
              </w:rPr>
            </w:pPr>
            <w:r>
              <w:rPr>
                <w:rFonts w:eastAsia="DengXian"/>
                <w:kern w:val="2"/>
                <w:highlight w:val="green"/>
              </w:rPr>
              <w:t>T</w:t>
            </w:r>
            <w:r>
              <w:rPr>
                <w:rFonts w:eastAsia="DengXian"/>
                <w:kern w:val="2"/>
                <w:highlight w:val="green"/>
                <w:vertAlign w:val="subscript"/>
              </w:rPr>
              <w:t>PSS/SSS_sync_intra</w:t>
            </w:r>
            <w:r>
              <w:rPr>
                <w:rFonts w:eastAsia="DengXian"/>
                <w:kern w:val="2"/>
                <w:highlight w:val="green"/>
              </w:rPr>
              <w:t xml:space="preserve"> and T</w:t>
            </w:r>
            <w:r>
              <w:rPr>
                <w:rFonts w:eastAsia="DengXian"/>
                <w:kern w:val="2"/>
                <w:highlight w:val="green"/>
                <w:vertAlign w:val="subscript"/>
              </w:rPr>
              <w:t>SSB_measurement_period_intra</w:t>
            </w:r>
          </w:p>
          <w:p>
            <w:pPr>
              <w:numPr>
                <w:ilvl w:val="3"/>
                <w:numId w:val="9"/>
              </w:numPr>
              <w:snapToGrid w:val="0"/>
              <w:spacing w:after="120"/>
              <w:rPr>
                <w:rFonts w:eastAsia="DengXian"/>
                <w:kern w:val="2"/>
                <w:highlight w:val="green"/>
              </w:rPr>
            </w:pPr>
            <w:r>
              <w:rPr>
                <w:rFonts w:eastAsia="DengXian"/>
                <w:kern w:val="2"/>
                <w:highlight w:val="green"/>
              </w:rPr>
              <w:t>CSSF</w:t>
            </w:r>
            <w:r>
              <w:rPr>
                <w:rFonts w:eastAsia="DengXian"/>
                <w:kern w:val="2"/>
                <w:highlight w:val="green"/>
                <w:vertAlign w:val="subscript"/>
              </w:rPr>
              <w:t>intra</w:t>
            </w:r>
            <w:r>
              <w:rPr>
                <w:rFonts w:eastAsia="DengXian"/>
                <w:kern w:val="2"/>
                <w:highlight w:val="green"/>
              </w:rPr>
              <w:t xml:space="preserve"> for intra-frequency measurement without gap which is defined since Rel-15</w:t>
            </w:r>
          </w:p>
          <w:p>
            <w:pPr>
              <w:numPr>
                <w:ilvl w:val="2"/>
                <w:numId w:val="9"/>
              </w:numPr>
              <w:snapToGrid w:val="0"/>
              <w:spacing w:after="120"/>
              <w:rPr>
                <w:rFonts w:eastAsia="DengXian"/>
                <w:kern w:val="2"/>
                <w:highlight w:val="green"/>
              </w:rPr>
            </w:pPr>
            <w:r>
              <w:rPr>
                <w:rFonts w:eastAsia="DengXian"/>
                <w:kern w:val="2"/>
                <w:highlight w:val="green"/>
              </w:rPr>
              <w:t xml:space="preserve">Aspect 2: SSB based Inter-frequency measurement without MG, including: </w:t>
            </w:r>
          </w:p>
          <w:p>
            <w:pPr>
              <w:numPr>
                <w:ilvl w:val="3"/>
                <w:numId w:val="9"/>
              </w:numPr>
              <w:snapToGrid w:val="0"/>
              <w:spacing w:after="120"/>
              <w:rPr>
                <w:rFonts w:eastAsia="DengXian"/>
                <w:kern w:val="2"/>
                <w:highlight w:val="green"/>
              </w:rPr>
            </w:pPr>
            <w:r>
              <w:rPr>
                <w:rFonts w:eastAsia="DengXian"/>
                <w:kern w:val="2"/>
                <w:highlight w:val="green"/>
              </w:rPr>
              <w:t>T</w:t>
            </w:r>
            <w:r>
              <w:rPr>
                <w:rFonts w:eastAsia="DengXian"/>
                <w:kern w:val="2"/>
                <w:highlight w:val="green"/>
                <w:vertAlign w:val="subscript"/>
              </w:rPr>
              <w:t>PSS/SSS_sync_inter</w:t>
            </w:r>
            <w:r>
              <w:rPr>
                <w:rFonts w:eastAsia="DengXian"/>
                <w:kern w:val="2"/>
                <w:highlight w:val="green"/>
              </w:rPr>
              <w:t>, T</w:t>
            </w:r>
            <w:r>
              <w:rPr>
                <w:rFonts w:eastAsia="DengXian"/>
                <w:kern w:val="2"/>
                <w:highlight w:val="green"/>
                <w:vertAlign w:val="subscript"/>
              </w:rPr>
              <w:t>SSB_time_index_inter</w:t>
            </w:r>
            <w:r>
              <w:rPr>
                <w:rFonts w:eastAsia="DengXian"/>
                <w:kern w:val="2"/>
                <w:highlight w:val="green"/>
              </w:rPr>
              <w:t xml:space="preserve"> and T</w:t>
            </w:r>
            <w:r>
              <w:rPr>
                <w:rFonts w:eastAsia="DengXian"/>
                <w:kern w:val="2"/>
                <w:highlight w:val="green"/>
                <w:vertAlign w:val="subscript"/>
              </w:rPr>
              <w:t>SSB_measurement_period_inter</w:t>
            </w:r>
          </w:p>
          <w:p>
            <w:pPr>
              <w:numPr>
                <w:ilvl w:val="3"/>
                <w:numId w:val="9"/>
              </w:numPr>
              <w:snapToGrid w:val="0"/>
              <w:spacing w:after="120"/>
              <w:rPr>
                <w:rFonts w:eastAsia="DengXian"/>
                <w:kern w:val="2"/>
                <w:highlight w:val="green"/>
              </w:rPr>
            </w:pPr>
            <w:r>
              <w:rPr>
                <w:rFonts w:eastAsia="DengXian"/>
                <w:kern w:val="2"/>
                <w:highlight w:val="green"/>
              </w:rPr>
              <w:t>CSSF</w:t>
            </w:r>
            <w:r>
              <w:rPr>
                <w:rFonts w:eastAsia="DengXian"/>
                <w:kern w:val="2"/>
                <w:highlight w:val="green"/>
                <w:vertAlign w:val="subscript"/>
              </w:rPr>
              <w:t>inter</w:t>
            </w:r>
            <w:r>
              <w:rPr>
                <w:rFonts w:eastAsia="DengXian"/>
                <w:kern w:val="2"/>
                <w:highlight w:val="green"/>
              </w:rPr>
              <w:t xml:space="preserve"> for inter-frequency measurement without gap.</w:t>
            </w:r>
          </w:p>
          <w:p>
            <w:pPr>
              <w:numPr>
                <w:ilvl w:val="2"/>
                <w:numId w:val="9"/>
              </w:numPr>
              <w:snapToGrid w:val="0"/>
              <w:spacing w:after="120"/>
              <w:rPr>
                <w:rFonts w:eastAsia="DengXian"/>
                <w:kern w:val="2"/>
                <w:highlight w:val="green"/>
              </w:rPr>
            </w:pPr>
            <w:r>
              <w:rPr>
                <w:rFonts w:eastAsia="DengXian"/>
                <w:kern w:val="2"/>
                <w:highlight w:val="green"/>
              </w:rPr>
              <w:t xml:space="preserve">Aspect 3: Inter-RAT SSB measurement without MG, including: </w:t>
            </w:r>
          </w:p>
          <w:p>
            <w:pPr>
              <w:numPr>
                <w:ilvl w:val="3"/>
                <w:numId w:val="9"/>
              </w:numPr>
              <w:snapToGrid w:val="0"/>
              <w:spacing w:after="120"/>
              <w:rPr>
                <w:rFonts w:eastAsia="DengXian"/>
                <w:kern w:val="2"/>
                <w:highlight w:val="green"/>
              </w:rPr>
            </w:pPr>
            <w:r>
              <w:rPr>
                <w:rFonts w:eastAsia="DengXian"/>
                <w:kern w:val="2"/>
                <w:highlight w:val="green"/>
              </w:rPr>
              <w:t>CSSF</w:t>
            </w:r>
            <w:r>
              <w:rPr>
                <w:rFonts w:eastAsia="DengXian"/>
                <w:kern w:val="2"/>
                <w:highlight w:val="green"/>
                <w:vertAlign w:val="subscript"/>
              </w:rPr>
              <w:t>interRAT</w:t>
            </w:r>
            <w:r>
              <w:rPr>
                <w:rFonts w:eastAsia="DengXian"/>
                <w:kern w:val="2"/>
                <w:highlight w:val="green"/>
              </w:rPr>
              <w:t xml:space="preserve"> for inter-RAT measurement without gap if the UE indicates ‘nogap-noncsg’ via NeedForGapNCSG-InfoEUTRA for the inter-RAT measurement.</w:t>
            </w:r>
          </w:p>
          <w:p>
            <w:pPr>
              <w:numPr>
                <w:ilvl w:val="2"/>
                <w:numId w:val="9"/>
              </w:numPr>
              <w:snapToGrid w:val="0"/>
              <w:spacing w:after="120"/>
              <w:rPr>
                <w:rFonts w:eastAsia="DengXian"/>
                <w:kern w:val="2"/>
                <w:highlight w:val="green"/>
              </w:rPr>
            </w:pPr>
            <w:r>
              <w:rPr>
                <w:rFonts w:eastAsia="DengXian"/>
                <w:kern w:val="2"/>
                <w:highlight w:val="green"/>
              </w:rPr>
              <w:t>MG related features to be considered in aspect 1/2/3 including:</w:t>
            </w:r>
          </w:p>
          <w:p>
            <w:pPr>
              <w:numPr>
                <w:ilvl w:val="3"/>
                <w:numId w:val="9"/>
              </w:numPr>
              <w:snapToGrid w:val="0"/>
              <w:spacing w:after="120"/>
              <w:rPr>
                <w:rFonts w:eastAsia="DengXian"/>
                <w:kern w:val="2"/>
                <w:highlight w:val="green"/>
              </w:rPr>
            </w:pPr>
            <w:r>
              <w:rPr>
                <w:rFonts w:eastAsia="DengXian"/>
                <w:kern w:val="2"/>
                <w:highlight w:val="green"/>
              </w:rPr>
              <w:t>R16 Inter-frequency measurement without gap where SSB is completely contained in active BWP</w:t>
            </w:r>
          </w:p>
          <w:p>
            <w:pPr>
              <w:numPr>
                <w:ilvl w:val="3"/>
                <w:numId w:val="9"/>
              </w:numPr>
              <w:snapToGrid w:val="0"/>
              <w:spacing w:after="120"/>
              <w:rPr>
                <w:rFonts w:eastAsia="DengXian"/>
                <w:kern w:val="2"/>
                <w:highlight w:val="green"/>
              </w:rPr>
            </w:pPr>
            <w:r>
              <w:rPr>
                <w:rFonts w:eastAsia="DengXian"/>
                <w:kern w:val="2"/>
                <w:highlight w:val="green"/>
              </w:rPr>
              <w:t>R17 NCSG measurement with ‘nogap-noncsg’</w:t>
            </w:r>
          </w:p>
          <w:p>
            <w:pPr>
              <w:numPr>
                <w:ilvl w:val="3"/>
                <w:numId w:val="9"/>
              </w:numPr>
              <w:snapToGrid w:val="0"/>
              <w:spacing w:after="120"/>
            </w:pPr>
            <w:r>
              <w:rPr>
                <w:rFonts w:eastAsia="DengXian"/>
                <w:kern w:val="2"/>
                <w:highlight w:val="green"/>
              </w:rPr>
              <w:t>R18 NeedForGaps measurement with ‘no-gap-no-interruption’ or with “no-gap-with-interruption”</w:t>
            </w:r>
          </w:p>
          <w:p>
            <w:pPr>
              <w:pStyle w:val="4"/>
              <w:spacing w:line="240" w:lineRule="auto"/>
              <w:rPr>
                <w:sz w:val="21"/>
                <w:szCs w:val="21"/>
                <w:lang w:val="en-US"/>
              </w:rPr>
            </w:pPr>
            <w:r>
              <w:rPr>
                <w:sz w:val="21"/>
                <w:szCs w:val="21"/>
                <w:lang w:val="en-US"/>
              </w:rPr>
              <w:t>Issue 2-3: Applicability requirement of L3 measurement delay reduction by optimizing CSSF</w:t>
            </w:r>
          </w:p>
          <w:p>
            <w:pPr>
              <w:keepNext w:val="0"/>
              <w:keepLines w:val="0"/>
              <w:pageBreakBefore w:val="0"/>
              <w:kinsoku/>
              <w:wordWrap/>
              <w:overflowPunct/>
              <w:topLinePunct w:val="0"/>
              <w:autoSpaceDE/>
              <w:autoSpaceDN/>
              <w:bidi w:val="0"/>
              <w:adjustRightInd/>
              <w:snapToGrid/>
              <w:textAlignment w:val="auto"/>
              <w:rPr>
                <w:rFonts w:eastAsia="宋体"/>
                <w:highlight w:val="green"/>
              </w:rPr>
            </w:pPr>
            <w:r>
              <w:rPr>
                <w:rFonts w:eastAsia="宋体"/>
                <w:highlight w:val="green"/>
              </w:rPr>
              <w:t>Agreement:</w:t>
            </w:r>
          </w:p>
          <w:p>
            <w:pPr>
              <w:pStyle w:val="29"/>
              <w:keepNext w:val="0"/>
              <w:keepLines w:val="0"/>
              <w:pageBreakBefore w:val="0"/>
              <w:numPr>
                <w:ilvl w:val="2"/>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lang w:eastAsia="en-GB"/>
              </w:rPr>
              <w:t>RAN4 to consider following CA/DC mode for L3 measurement delay reduction by optimizing CSSF</w:t>
            </w:r>
            <w:r>
              <w:rPr>
                <w:rFonts w:eastAsia="宋体"/>
                <w:highlight w:val="green"/>
                <w:vertAlign w:val="subscript"/>
                <w:lang w:eastAsia="en-GB"/>
              </w:rPr>
              <w:t>outside_gap,</w:t>
            </w:r>
            <w:r>
              <w:rPr>
                <w:rFonts w:hint="eastAsia" w:eastAsia="宋体"/>
                <w:highlight w:val="green"/>
                <w:vertAlign w:val="subscript"/>
              </w:rPr>
              <w:t>i</w:t>
            </w:r>
          </w:p>
          <w:p>
            <w:pPr>
              <w:pStyle w:val="29"/>
              <w:keepNext w:val="0"/>
              <w:keepLines w:val="0"/>
              <w:pageBreakBefore w:val="0"/>
              <w:numPr>
                <w:ilvl w:val="2"/>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Final applicability of the solutions can be FFS</w:t>
            </w:r>
          </w:p>
          <w:p>
            <w:pPr>
              <w:pStyle w:val="29"/>
              <w:keepNext w:val="0"/>
              <w:keepLines w:val="0"/>
              <w:pageBreakBefore w:val="0"/>
              <w:numPr>
                <w:ilvl w:val="3"/>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lang w:eastAsia="en-GB"/>
              </w:rPr>
              <w:t xml:space="preserve">EN-DC </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 xml:space="preserve">EN-DC with FR2 only intra band CA </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 xml:space="preserve">EN-DC with FR2 only inter band CA </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 xml:space="preserve">EN-DC with FR1 +FR2 CA (FR1 PSCell) </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 xml:space="preserve">EN-DC with FR1 +FR2 CA (FR2 PSCell) </w:t>
            </w:r>
          </w:p>
          <w:p>
            <w:pPr>
              <w:pStyle w:val="29"/>
              <w:keepNext w:val="0"/>
              <w:keepLines w:val="0"/>
              <w:pageBreakBefore w:val="0"/>
              <w:numPr>
                <w:ilvl w:val="3"/>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lang w:eastAsia="en-GB"/>
              </w:rPr>
              <w:t>NE-DC</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 xml:space="preserve">NE-DC with FR2 only intra band CA </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NE-DC with FR2 only inter band CA</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 xml:space="preserve">NE-DC with FR1 +FR2 CA (FR1 PCell) </w:t>
            </w:r>
          </w:p>
          <w:p>
            <w:pPr>
              <w:pStyle w:val="29"/>
              <w:keepNext w:val="0"/>
              <w:keepLines w:val="0"/>
              <w:pageBreakBefore w:val="0"/>
              <w:numPr>
                <w:ilvl w:val="3"/>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lang w:eastAsia="en-GB"/>
              </w:rPr>
              <w:t xml:space="preserve">SA </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lang w:eastAsia="en-GB"/>
              </w:rPr>
            </w:pPr>
            <w:r>
              <w:rPr>
                <w:rFonts w:eastAsia="宋体"/>
                <w:highlight w:val="green"/>
                <w:lang w:eastAsia="en-GB"/>
              </w:rPr>
              <w:t xml:space="preserve">FR1+FR2 CA (FR1 PCell) </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lang w:eastAsia="en-GB"/>
              </w:rPr>
            </w:pPr>
            <w:r>
              <w:rPr>
                <w:rFonts w:eastAsia="宋体"/>
                <w:highlight w:val="green"/>
                <w:lang w:eastAsia="en-GB"/>
              </w:rPr>
              <w:t>FR1+FR2 CA (FR2 PCell)</w:t>
            </w:r>
            <w:r>
              <w:rPr>
                <w:rFonts w:eastAsia="宋体"/>
                <w:highlight w:val="green"/>
              </w:rPr>
              <w:t xml:space="preserve"> </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lang w:eastAsia="en-GB"/>
              </w:rPr>
            </w:pPr>
            <w:r>
              <w:rPr>
                <w:rFonts w:eastAsia="宋体"/>
                <w:highlight w:val="green"/>
                <w:lang w:eastAsia="en-GB"/>
              </w:rPr>
              <w:t>FR2 only intra-band CA</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eastAsia="宋体"/>
                <w:highlight w:val="green"/>
                <w:lang w:eastAsia="en-GB"/>
              </w:rPr>
            </w:pPr>
            <w:r>
              <w:rPr>
                <w:rFonts w:eastAsia="宋体"/>
                <w:highlight w:val="green"/>
                <w:lang w:eastAsia="en-GB"/>
              </w:rPr>
              <w:t xml:space="preserve">FR2 only inter-band CA </w:t>
            </w:r>
          </w:p>
          <w:p>
            <w:pPr>
              <w:pStyle w:val="29"/>
              <w:keepNext w:val="0"/>
              <w:keepLines w:val="0"/>
              <w:pageBreakBefore w:val="0"/>
              <w:numPr>
                <w:ilvl w:val="3"/>
                <w:numId w:val="9"/>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lang w:eastAsia="en-GB"/>
              </w:rPr>
              <w:t>NR-DC</w:t>
            </w:r>
          </w:p>
          <w:p>
            <w:pPr>
              <w:pStyle w:val="29"/>
              <w:keepNext w:val="0"/>
              <w:keepLines w:val="0"/>
              <w:pageBreakBefore w:val="0"/>
              <w:numPr>
                <w:ilvl w:val="4"/>
                <w:numId w:val="9"/>
              </w:numPr>
              <w:kinsoku/>
              <w:wordWrap/>
              <w:overflowPunct/>
              <w:topLinePunct w:val="0"/>
              <w:autoSpaceDE/>
              <w:autoSpaceDN/>
              <w:bidi w:val="0"/>
              <w:adjustRightInd/>
              <w:snapToGrid/>
              <w:ind w:firstLineChars="0"/>
              <w:textAlignment w:val="auto"/>
              <w:rPr>
                <w:rFonts w:hint="eastAsia" w:cs="Arial"/>
                <w:vertAlign w:val="baseline"/>
                <w:lang w:val="en-US" w:eastAsia="zh-CN"/>
              </w:rPr>
            </w:pPr>
            <w:r>
              <w:rPr>
                <w:rFonts w:eastAsia="宋体"/>
                <w:highlight w:val="green"/>
                <w:lang w:eastAsia="en-GB"/>
              </w:rPr>
              <w:t>FR1 + FR2 NR-DC (FR1 PCell and FR2 PScell)</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views on the 2</w:t>
      </w:r>
      <w:r>
        <w:rPr>
          <w:rFonts w:hint="eastAsia" w:cs="Arial"/>
          <w:vertAlign w:val="superscript"/>
          <w:lang w:val="en-US" w:eastAsia="zh-CN"/>
        </w:rPr>
        <w:t>nd</w:t>
      </w:r>
      <w:r>
        <w:rPr>
          <w:rFonts w:hint="eastAsia" w:cs="Arial"/>
          <w:lang w:val="en-US" w:eastAsia="zh-CN"/>
        </w:rPr>
        <w:t xml:space="preserve"> adaptation of the 1</w:t>
      </w:r>
      <w:r>
        <w:rPr>
          <w:rFonts w:hint="eastAsia" w:cs="Arial"/>
          <w:vertAlign w:val="superscript"/>
          <w:lang w:val="en-US" w:eastAsia="zh-CN"/>
        </w:rPr>
        <w:t>st</w:t>
      </w:r>
      <w:r>
        <w:rPr>
          <w:rFonts w:hint="eastAsia" w:cs="Arial"/>
          <w:lang w:val="en-US" w:eastAsia="zh-CN"/>
        </w:rPr>
        <w:t xml:space="preserve"> topic.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eastAsia"/>
          <w:lang w:val="en-US" w:eastAsia="zh-CN"/>
        </w:rPr>
      </w:pPr>
      <w:r>
        <w:rPr>
          <w:rFonts w:hint="eastAsia"/>
          <w:lang w:val="en-US" w:eastAsia="zh-CN"/>
        </w:rPr>
        <w:t>Regarding this sub topic, we share our views from the following aspects:</w:t>
      </w:r>
    </w:p>
    <w:p>
      <w:pPr>
        <w:numPr>
          <w:ilvl w:val="0"/>
          <w:numId w:val="10"/>
        </w:numPr>
        <w:ind w:left="420" w:leftChars="0" w:hanging="420" w:firstLineChars="0"/>
        <w:rPr>
          <w:rFonts w:hint="default"/>
          <w:lang w:val="en-US" w:eastAsia="zh-CN"/>
        </w:rPr>
      </w:pPr>
      <w:r>
        <w:rPr>
          <w:rFonts w:hint="eastAsia"/>
          <w:lang w:val="en-US" w:eastAsia="zh-CN"/>
        </w:rPr>
        <w:t>Whether to prioritize any type of L3 measurement</w:t>
      </w:r>
    </w:p>
    <w:p>
      <w:pPr>
        <w:numPr>
          <w:ilvl w:val="0"/>
          <w:numId w:val="10"/>
        </w:numPr>
        <w:ind w:left="420" w:leftChars="0" w:hanging="420" w:firstLineChars="0"/>
        <w:rPr>
          <w:rFonts w:hint="default"/>
          <w:lang w:val="en-US" w:eastAsia="zh-CN"/>
        </w:rPr>
      </w:pPr>
      <w:r>
        <w:rPr>
          <w:rFonts w:hint="eastAsia"/>
          <w:lang w:val="en-US" w:eastAsia="zh-CN"/>
        </w:rPr>
        <w:t>Exact solution</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Whether to prioritize any type of L3 measurement</w:t>
      </w:r>
    </w:p>
    <w:p>
      <w:pPr>
        <w:pStyle w:val="9"/>
        <w:bidi w:val="0"/>
        <w:rPr>
          <w:rFonts w:hint="eastAsia"/>
          <w:lang w:val="en-US" w:eastAsia="zh-CN"/>
        </w:rPr>
      </w:pPr>
      <w:r>
        <w:rPr>
          <w:rFonts w:hint="eastAsia"/>
          <w:lang w:val="en-US" w:eastAsia="zh-CN"/>
        </w:rPr>
        <w:t>During last meeting, some company proposed to prioritize intra-frequency measurement without gap among all the intra-frequency/inter-frequency/inter-RAT measurement without gap. We admit the intra-frequency measurement dominates the searcher consumption, focus the CSSF enhancement on the intra-frequency measurement could be more concentrated. But it is better not to restrict the applicable case, i.e. even the inter-frequency or inter-RAT measurement without gap configured, still the CSSF enhancement could be applicable. Based on such principle, when we re-design the CSSF factor, all type of measurements including intra-frequency/inter-frequency/inter-RAT measurement without gap should be considered.</w:t>
      </w:r>
    </w:p>
    <w:p>
      <w:pPr>
        <w:pStyle w:val="9"/>
        <w:bidi w:val="0"/>
        <w:rPr>
          <w:rFonts w:hint="default"/>
          <w:lang w:val="en-US" w:eastAsia="zh-CN"/>
        </w:rPr>
      </w:pPr>
      <w:r>
        <w:rPr>
          <w:rFonts w:hint="eastAsia"/>
          <w:b/>
          <w:bCs/>
          <w:lang w:val="en-US" w:eastAsia="zh-CN"/>
        </w:rPr>
        <w:t>Proposal 1: To to more concentrated, prioritize the intra-frequency measurement without gap could make the discussion more efficient. But when re-design the CSSF factor, both inter-frequency and inter-RAT measurement without gap should also be considered.</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Exact solution</w:t>
      </w:r>
    </w:p>
    <w:p>
      <w:pPr>
        <w:pStyle w:val="9"/>
        <w:numPr>
          <w:ilvl w:val="0"/>
          <w:numId w:val="0"/>
        </w:numPr>
        <w:bidi w:val="0"/>
        <w:ind w:leftChars="0"/>
        <w:rPr>
          <w:rFonts w:hint="eastAsia"/>
          <w:lang w:val="en-US" w:eastAsia="zh-CN"/>
        </w:rPr>
      </w:pPr>
      <w:r>
        <w:rPr>
          <w:rFonts w:hint="eastAsia"/>
          <w:lang w:val="en-US" w:eastAsia="zh-CN"/>
        </w:rPr>
        <w:t>During previous meetings, multiple solutions proposed by companies. We classify them into multiple types:</w:t>
      </w:r>
    </w:p>
    <w:p>
      <w:pPr>
        <w:pStyle w:val="9"/>
        <w:numPr>
          <w:ilvl w:val="0"/>
          <w:numId w:val="11"/>
        </w:numPr>
        <w:bidi w:val="0"/>
        <w:ind w:left="420" w:leftChars="0" w:hanging="420" w:firstLineChars="0"/>
        <w:rPr>
          <w:rFonts w:hint="eastAsia"/>
          <w:lang w:val="en-US" w:eastAsia="zh-CN"/>
        </w:rPr>
      </w:pPr>
      <w:r>
        <w:rPr>
          <w:rFonts w:hint="eastAsia"/>
          <w:lang w:val="en-US" w:eastAsia="zh-CN"/>
        </w:rPr>
        <w:t>Type 1: Only measure one serving carrier per band</w:t>
      </w:r>
    </w:p>
    <w:p>
      <w:pPr>
        <w:pStyle w:val="9"/>
        <w:numPr>
          <w:ilvl w:val="0"/>
          <w:numId w:val="11"/>
        </w:numPr>
        <w:bidi w:val="0"/>
        <w:ind w:left="420" w:leftChars="0" w:hanging="420" w:firstLineChars="0"/>
        <w:rPr>
          <w:rFonts w:hint="eastAsia"/>
          <w:sz w:val="13"/>
          <w:szCs w:val="13"/>
          <w:lang w:val="en-US" w:eastAsia="zh-CN"/>
        </w:rPr>
      </w:pPr>
      <w:r>
        <w:rPr>
          <w:rFonts w:hint="eastAsia"/>
          <w:lang w:val="en-US" w:eastAsia="zh-CN"/>
        </w:rPr>
        <w:t>Type 2: Dynamic searcher sharing between PCC and SCC</w:t>
      </w:r>
    </w:p>
    <w:p>
      <w:pPr>
        <w:pStyle w:val="9"/>
        <w:numPr>
          <w:ilvl w:val="0"/>
          <w:numId w:val="11"/>
        </w:numPr>
        <w:bidi w:val="0"/>
        <w:ind w:left="420" w:leftChars="0" w:hanging="420" w:firstLineChars="0"/>
        <w:rPr>
          <w:rFonts w:hint="eastAsia"/>
          <w:sz w:val="13"/>
          <w:szCs w:val="13"/>
          <w:lang w:val="en-US" w:eastAsia="zh-CN"/>
        </w:rPr>
      </w:pPr>
      <w:r>
        <w:rPr>
          <w:rFonts w:hint="eastAsia"/>
          <w:lang w:val="en-US" w:eastAsia="zh-CN"/>
        </w:rPr>
        <w:t>Type 3: Adaptation on 2*N</w:t>
      </w:r>
      <w:r>
        <w:rPr>
          <w:rFonts w:hint="eastAsia"/>
          <w:sz w:val="13"/>
          <w:szCs w:val="13"/>
          <w:lang w:val="en-US" w:eastAsia="zh-CN"/>
        </w:rPr>
        <w:t>SCC_CSIRS</w:t>
      </w:r>
    </w:p>
    <w:p>
      <w:pPr>
        <w:pStyle w:val="9"/>
        <w:numPr>
          <w:ilvl w:val="0"/>
          <w:numId w:val="11"/>
        </w:numPr>
        <w:bidi w:val="0"/>
        <w:ind w:left="420" w:leftChars="0" w:hanging="420" w:firstLineChars="0"/>
        <w:rPr>
          <w:rFonts w:hint="default"/>
          <w:sz w:val="13"/>
          <w:szCs w:val="13"/>
          <w:lang w:val="en-US" w:eastAsia="zh-CN"/>
        </w:rPr>
      </w:pPr>
      <w:r>
        <w:rPr>
          <w:rFonts w:hint="eastAsia"/>
          <w:lang w:val="en-US" w:eastAsia="zh-CN"/>
        </w:rPr>
        <w:t>Type 4: Adaptation on the assumption of searcher number</w:t>
      </w:r>
    </w:p>
    <w:p>
      <w:pPr>
        <w:pStyle w:val="9"/>
        <w:numPr>
          <w:ilvl w:val="0"/>
          <w:numId w:val="0"/>
        </w:numPr>
        <w:bidi w:val="0"/>
        <w:ind w:leftChars="0"/>
        <w:rPr>
          <w:rFonts w:hint="default"/>
          <w:lang w:val="en-US" w:eastAsia="zh-CN"/>
        </w:rPr>
      </w:pPr>
      <w:r>
        <w:rPr>
          <w:rFonts w:hint="eastAsia"/>
          <w:lang w:val="en-US" w:eastAsia="zh-CN"/>
        </w:rPr>
        <w:t xml:space="preserve">From our point of view, we are open to all types of optimization. It seems that Type 1 and Type 2 can be deemed as the starting point. </w:t>
      </w:r>
    </w:p>
    <w:p>
      <w:pPr>
        <w:pStyle w:val="9"/>
        <w:numPr>
          <w:ilvl w:val="0"/>
          <w:numId w:val="0"/>
        </w:numPr>
        <w:bidi w:val="0"/>
        <w:ind w:leftChars="0"/>
        <w:rPr>
          <w:rFonts w:hint="eastAsia"/>
          <w:b/>
          <w:bCs/>
          <w:lang w:val="en-US" w:eastAsia="zh-CN"/>
        </w:rPr>
      </w:pPr>
      <w:r>
        <w:rPr>
          <w:rFonts w:hint="eastAsia"/>
          <w:b/>
          <w:bCs/>
          <w:lang w:val="en-US" w:eastAsia="zh-CN"/>
        </w:rPr>
        <w:t>Observation 1: Multiple solutions proposed by companies. We classify them into multiple types:</w:t>
      </w:r>
    </w:p>
    <w:p>
      <w:pPr>
        <w:pStyle w:val="9"/>
        <w:numPr>
          <w:ilvl w:val="0"/>
          <w:numId w:val="11"/>
        </w:numPr>
        <w:bidi w:val="0"/>
        <w:ind w:left="420" w:leftChars="0" w:hanging="420" w:firstLineChars="0"/>
        <w:rPr>
          <w:rFonts w:hint="eastAsia"/>
          <w:b/>
          <w:bCs/>
          <w:lang w:val="en-US" w:eastAsia="zh-CN"/>
        </w:rPr>
      </w:pPr>
      <w:r>
        <w:rPr>
          <w:rFonts w:hint="eastAsia"/>
          <w:b/>
          <w:bCs/>
          <w:lang w:val="en-US" w:eastAsia="zh-CN"/>
        </w:rPr>
        <w:t>Type 1: Only measure one serving carrier per band</w:t>
      </w:r>
    </w:p>
    <w:p>
      <w:pPr>
        <w:pStyle w:val="9"/>
        <w:numPr>
          <w:ilvl w:val="0"/>
          <w:numId w:val="11"/>
        </w:numPr>
        <w:bidi w:val="0"/>
        <w:ind w:left="420" w:leftChars="0" w:hanging="420" w:firstLineChars="0"/>
        <w:rPr>
          <w:rFonts w:hint="eastAsia"/>
          <w:b/>
          <w:bCs/>
          <w:lang w:val="en-US" w:eastAsia="zh-CN"/>
        </w:rPr>
      </w:pPr>
      <w:r>
        <w:rPr>
          <w:rFonts w:hint="eastAsia"/>
          <w:b/>
          <w:bCs/>
          <w:lang w:val="en-US" w:eastAsia="zh-CN"/>
        </w:rPr>
        <w:t>Type 2: Dynamic searcher sharing between PCC and SCC</w:t>
      </w:r>
    </w:p>
    <w:p>
      <w:pPr>
        <w:pStyle w:val="9"/>
        <w:numPr>
          <w:ilvl w:val="0"/>
          <w:numId w:val="11"/>
        </w:numPr>
        <w:bidi w:val="0"/>
        <w:ind w:left="420" w:leftChars="0" w:hanging="420" w:firstLineChars="0"/>
        <w:rPr>
          <w:rFonts w:hint="eastAsia"/>
          <w:b/>
          <w:bCs/>
          <w:lang w:val="en-US" w:eastAsia="zh-CN"/>
        </w:rPr>
      </w:pPr>
      <w:r>
        <w:rPr>
          <w:rFonts w:hint="eastAsia"/>
          <w:b/>
          <w:bCs/>
          <w:lang w:val="en-US" w:eastAsia="zh-CN"/>
        </w:rPr>
        <w:t>Type 3: Adaptation on 2*N</w:t>
      </w:r>
      <w:r>
        <w:rPr>
          <w:rFonts w:hint="eastAsia"/>
          <w:b/>
          <w:bCs/>
          <w:sz w:val="13"/>
          <w:szCs w:val="13"/>
          <w:lang w:val="en-US" w:eastAsia="zh-CN"/>
        </w:rPr>
        <w:t>SCC_CSIRS</w:t>
      </w:r>
    </w:p>
    <w:p>
      <w:pPr>
        <w:pStyle w:val="9"/>
        <w:numPr>
          <w:ilvl w:val="0"/>
          <w:numId w:val="11"/>
        </w:numPr>
        <w:bidi w:val="0"/>
        <w:ind w:left="420" w:leftChars="0" w:hanging="420" w:firstLineChars="0"/>
        <w:rPr>
          <w:rFonts w:hint="default"/>
          <w:b/>
          <w:bCs/>
          <w:lang w:val="en-US" w:eastAsia="zh-CN"/>
        </w:rPr>
      </w:pPr>
      <w:r>
        <w:rPr>
          <w:rFonts w:hint="eastAsia"/>
          <w:b/>
          <w:bCs/>
          <w:lang w:val="en-US" w:eastAsia="zh-CN"/>
        </w:rPr>
        <w:t>Type 4: Adaptation on the assumption of searcher number</w:t>
      </w:r>
    </w:p>
    <w:p>
      <w:pPr>
        <w:pStyle w:val="9"/>
        <w:numPr>
          <w:ilvl w:val="0"/>
          <w:numId w:val="0"/>
        </w:numPr>
        <w:bidi w:val="0"/>
        <w:ind w:leftChars="0"/>
        <w:rPr>
          <w:rFonts w:hint="eastAsia"/>
          <w:b/>
          <w:bCs/>
          <w:lang w:val="en-US" w:eastAsia="zh-CN"/>
        </w:rPr>
      </w:pPr>
      <w:r>
        <w:rPr>
          <w:rFonts w:hint="eastAsia"/>
          <w:b/>
          <w:bCs/>
          <w:lang w:val="en-US" w:eastAsia="zh-CN"/>
        </w:rPr>
        <w:t xml:space="preserve">Proposal 2: Type 1 and Type 2 can be deemed as the starting point. </w:t>
      </w:r>
    </w:p>
    <w:p>
      <w:pPr>
        <w:pStyle w:val="9"/>
        <w:numPr>
          <w:ilvl w:val="0"/>
          <w:numId w:val="0"/>
        </w:numPr>
        <w:bidi w:val="0"/>
        <w:ind w:leftChars="0"/>
        <w:rPr>
          <w:rFonts w:hint="eastAsia"/>
          <w:lang w:val="en-US" w:eastAsia="zh-CN"/>
        </w:rPr>
      </w:pPr>
      <w:r>
        <w:rPr>
          <w:rFonts w:hint="eastAsia"/>
          <w:lang w:val="en-US" w:eastAsia="zh-CN"/>
        </w:rPr>
        <w:t xml:space="preserve">When the exact solutions on how to optimize CSSF in FR2-1 are concluded, the solution could be extended to FR1 if possible. </w:t>
      </w:r>
    </w:p>
    <w:p>
      <w:pPr>
        <w:pStyle w:val="9"/>
        <w:numPr>
          <w:ilvl w:val="0"/>
          <w:numId w:val="0"/>
        </w:numPr>
        <w:bidi w:val="0"/>
        <w:ind w:leftChars="0"/>
        <w:rPr>
          <w:rFonts w:hint="default"/>
          <w:b/>
          <w:bCs/>
          <w:lang w:val="en-US" w:eastAsia="zh-CN"/>
        </w:rPr>
      </w:pPr>
      <w:r>
        <w:rPr>
          <w:rFonts w:hint="eastAsia"/>
          <w:b/>
          <w:bCs/>
          <w:lang w:val="en-US" w:eastAsia="zh-CN"/>
        </w:rPr>
        <w:t xml:space="preserve">Proposal 3: Extend the solution to FR1 if possible.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lang w:val="en-US" w:eastAsia="zh-CN"/>
        </w:rPr>
      </w:pPr>
      <w:r>
        <w:rPr>
          <w:rFonts w:hint="eastAsia"/>
          <w:b/>
          <w:bCs/>
          <w:lang w:val="en-US" w:eastAsia="zh-CN"/>
        </w:rPr>
        <w:t>Proposal 1: To to more concentrated, prioritize the intra-frequency measurement without gap could make the discussion more efficient. But when re-design the CSSF factor, both inter-frequency and inter-RAT measurement without gap should also be considered.</w:t>
      </w:r>
    </w:p>
    <w:p>
      <w:pPr>
        <w:pStyle w:val="9"/>
        <w:numPr>
          <w:ilvl w:val="0"/>
          <w:numId w:val="0"/>
        </w:numPr>
        <w:bidi w:val="0"/>
        <w:ind w:leftChars="0"/>
        <w:rPr>
          <w:rFonts w:hint="eastAsia"/>
          <w:b/>
          <w:bCs/>
          <w:lang w:val="en-US" w:eastAsia="zh-CN"/>
        </w:rPr>
      </w:pPr>
      <w:r>
        <w:rPr>
          <w:rFonts w:hint="eastAsia"/>
          <w:b/>
          <w:bCs/>
          <w:lang w:val="en-US" w:eastAsia="zh-CN"/>
        </w:rPr>
        <w:t>Observation 1: Multiple solutions proposed by companies. We classify them into multiple types:</w:t>
      </w:r>
    </w:p>
    <w:p>
      <w:pPr>
        <w:pStyle w:val="9"/>
        <w:numPr>
          <w:ilvl w:val="0"/>
          <w:numId w:val="11"/>
        </w:numPr>
        <w:bidi w:val="0"/>
        <w:ind w:left="420" w:leftChars="0" w:hanging="420" w:firstLineChars="0"/>
        <w:rPr>
          <w:rFonts w:hint="eastAsia"/>
          <w:b/>
          <w:bCs/>
          <w:lang w:val="en-US" w:eastAsia="zh-CN"/>
        </w:rPr>
      </w:pPr>
      <w:r>
        <w:rPr>
          <w:rFonts w:hint="eastAsia"/>
          <w:b/>
          <w:bCs/>
          <w:lang w:val="en-US" w:eastAsia="zh-CN"/>
        </w:rPr>
        <w:t>Type 1: Only measure one serving carrier per band</w:t>
      </w:r>
    </w:p>
    <w:p>
      <w:pPr>
        <w:pStyle w:val="9"/>
        <w:numPr>
          <w:ilvl w:val="0"/>
          <w:numId w:val="11"/>
        </w:numPr>
        <w:bidi w:val="0"/>
        <w:ind w:left="420" w:leftChars="0" w:hanging="420" w:firstLineChars="0"/>
        <w:rPr>
          <w:rFonts w:hint="eastAsia"/>
          <w:b/>
          <w:bCs/>
          <w:lang w:val="en-US" w:eastAsia="zh-CN"/>
        </w:rPr>
      </w:pPr>
      <w:r>
        <w:rPr>
          <w:rFonts w:hint="eastAsia"/>
          <w:b/>
          <w:bCs/>
          <w:lang w:val="en-US" w:eastAsia="zh-CN"/>
        </w:rPr>
        <w:t>Type 2: Dynamic searcher sharing between PCC and SCC</w:t>
      </w:r>
    </w:p>
    <w:p>
      <w:pPr>
        <w:pStyle w:val="9"/>
        <w:numPr>
          <w:ilvl w:val="0"/>
          <w:numId w:val="11"/>
        </w:numPr>
        <w:bidi w:val="0"/>
        <w:ind w:left="420" w:leftChars="0" w:hanging="420" w:firstLineChars="0"/>
        <w:rPr>
          <w:rFonts w:hint="eastAsia"/>
          <w:b/>
          <w:bCs/>
          <w:lang w:val="en-US" w:eastAsia="zh-CN"/>
        </w:rPr>
      </w:pPr>
      <w:r>
        <w:rPr>
          <w:rFonts w:hint="eastAsia"/>
          <w:b/>
          <w:bCs/>
          <w:lang w:val="en-US" w:eastAsia="zh-CN"/>
        </w:rPr>
        <w:t>Type 3: Adaptation on 2*N</w:t>
      </w:r>
      <w:r>
        <w:rPr>
          <w:rFonts w:hint="eastAsia"/>
          <w:b/>
          <w:bCs/>
          <w:sz w:val="13"/>
          <w:szCs w:val="13"/>
          <w:lang w:val="en-US" w:eastAsia="zh-CN"/>
        </w:rPr>
        <w:t>SCC_CSIRS</w:t>
      </w:r>
    </w:p>
    <w:p>
      <w:pPr>
        <w:pStyle w:val="9"/>
        <w:numPr>
          <w:ilvl w:val="0"/>
          <w:numId w:val="11"/>
        </w:numPr>
        <w:bidi w:val="0"/>
        <w:ind w:left="420" w:leftChars="0" w:hanging="420" w:firstLineChars="0"/>
        <w:rPr>
          <w:rFonts w:hint="default"/>
          <w:b/>
          <w:bCs/>
          <w:lang w:val="en-US" w:eastAsia="zh-CN"/>
        </w:rPr>
      </w:pPr>
      <w:r>
        <w:rPr>
          <w:rFonts w:hint="eastAsia"/>
          <w:b/>
          <w:bCs/>
          <w:lang w:val="en-US" w:eastAsia="zh-CN"/>
        </w:rPr>
        <w:t>Type 4: Adaptation on the assumption of searcher number</w:t>
      </w:r>
    </w:p>
    <w:p>
      <w:pPr>
        <w:pStyle w:val="9"/>
        <w:numPr>
          <w:ilvl w:val="0"/>
          <w:numId w:val="0"/>
        </w:numPr>
        <w:bidi w:val="0"/>
        <w:ind w:leftChars="0"/>
        <w:rPr>
          <w:rFonts w:hint="eastAsia"/>
          <w:b/>
          <w:bCs/>
          <w:lang w:val="en-US" w:eastAsia="zh-CN"/>
        </w:rPr>
      </w:pPr>
      <w:r>
        <w:rPr>
          <w:rFonts w:hint="eastAsia"/>
          <w:b/>
          <w:bCs/>
          <w:lang w:val="en-US" w:eastAsia="zh-CN"/>
        </w:rPr>
        <w:t xml:space="preserve">Proposal 2: Type 1 and Type 2 can be deemed as the starting point. </w:t>
      </w:r>
    </w:p>
    <w:p>
      <w:pPr>
        <w:pStyle w:val="9"/>
        <w:numPr>
          <w:ilvl w:val="0"/>
          <w:numId w:val="0"/>
        </w:numPr>
        <w:bidi w:val="0"/>
        <w:ind w:leftChars="0"/>
        <w:rPr>
          <w:rFonts w:hint="eastAsia"/>
          <w:b/>
          <w:bCs/>
          <w:lang w:val="en-US" w:eastAsia="zh-CN"/>
        </w:rPr>
      </w:pPr>
      <w:r>
        <w:rPr>
          <w:rFonts w:hint="eastAsia"/>
          <w:b/>
          <w:bCs/>
          <w:lang w:val="en-US" w:eastAsia="zh-CN"/>
        </w:rPr>
        <w:t xml:space="preserve">Proposal 3: Extend the solution to FR1 if possible.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RP-242380 </w:t>
      </w:r>
      <w:r>
        <w:rPr>
          <w:rFonts w:hint="default"/>
          <w:color w:val="auto"/>
          <w:sz w:val="20"/>
          <w:szCs w:val="20"/>
          <w:highlight w:val="none"/>
          <w:lang w:val="en-US" w:eastAsia="zh-CN"/>
        </w:rPr>
        <w:t>“Revised WID: NR Radio Resource Management (RRM) Phase 5”</w:t>
      </w:r>
      <w:r>
        <w:rPr>
          <w:rFonts w:hint="eastAsia"/>
          <w:color w:val="auto"/>
          <w:sz w:val="20"/>
          <w:szCs w:val="20"/>
          <w:highlight w:val="none"/>
          <w:lang w:val="en-US" w:eastAsia="zh-CN"/>
        </w:rPr>
        <w:t>, Apple, CATT</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R4-2414026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swiss"/>
    <w:pitch w:val="default"/>
    <w:sig w:usb0="FFFFFFFF" w:usb1="E9FFFFFF" w:usb2="0000003F" w:usb3="00000000" w:csb0="603F01FF" w:csb1="FFFF0000"/>
  </w:font>
  <w:font w:name="DengXian">
    <w:altName w:val="宋体"/>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9479D"/>
    <w:multiLevelType w:val="singleLevel"/>
    <w:tmpl w:val="B4F9479D"/>
    <w:lvl w:ilvl="0" w:tentative="0">
      <w:start w:val="1"/>
      <w:numFmt w:val="bullet"/>
      <w:lvlText w:val=""/>
      <w:lvlJc w:val="left"/>
      <w:pPr>
        <w:ind w:left="420" w:hanging="420"/>
      </w:pPr>
      <w:rPr>
        <w:rFonts w:hint="default" w:ascii="Wingdings" w:hAnsi="Wingdings"/>
      </w:rPr>
    </w:lvl>
  </w:abstractNum>
  <w:abstractNum w:abstractNumId="1">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E6A8CDEC"/>
    <w:multiLevelType w:val="singleLevel"/>
    <w:tmpl w:val="E6A8CDEC"/>
    <w:lvl w:ilvl="0" w:tentative="0">
      <w:start w:val="1"/>
      <w:numFmt w:val="bullet"/>
      <w:lvlText w:val=""/>
      <w:lvlJc w:val="left"/>
      <w:pPr>
        <w:ind w:left="42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69A1CA6"/>
    <w:multiLevelType w:val="singleLevel"/>
    <w:tmpl w:val="669A1CA6"/>
    <w:lvl w:ilvl="0" w:tentative="0">
      <w:start w:val="1"/>
      <w:numFmt w:val="bullet"/>
      <w:lvlText w:val=""/>
      <w:lvlJc w:val="left"/>
      <w:pPr>
        <w:ind w:left="420" w:hanging="420"/>
      </w:pPr>
      <w:rPr>
        <w:rFonts w:hint="default" w:ascii="Wingdings" w:hAnsi="Wingdings"/>
      </w:rPr>
    </w:lvl>
  </w:abstractNum>
  <w:abstractNum w:abstractNumId="8">
    <w:nsid w:val="6A1A3B45"/>
    <w:multiLevelType w:val="singleLevel"/>
    <w:tmpl w:val="6A1A3B45"/>
    <w:lvl w:ilvl="0" w:tentative="0">
      <w:start w:val="1"/>
      <w:numFmt w:val="bullet"/>
      <w:lvlText w:val=""/>
      <w:lvlJc w:val="left"/>
      <w:pPr>
        <w:ind w:left="420" w:hanging="42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6C7DB030"/>
    <w:multiLevelType w:val="singleLevel"/>
    <w:tmpl w:val="6C7DB030"/>
    <w:lvl w:ilvl="0" w:tentative="0">
      <w:start w:val="1"/>
      <w:numFmt w:val="bullet"/>
      <w:lvlText w:val=""/>
      <w:lvlJc w:val="left"/>
      <w:pPr>
        <w:tabs>
          <w:tab w:val="left" w:pos="1260"/>
        </w:tabs>
        <w:ind w:left="1680" w:hanging="420"/>
      </w:pPr>
      <w:rPr>
        <w:rFonts w:hint="default" w:ascii="Wingdings" w:hAnsi="Wingdings"/>
      </w:rPr>
    </w:lvl>
  </w:abstractNum>
  <w:abstractNum w:abstractNumId="11">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9"/>
  </w:num>
  <w:num w:numId="2">
    <w:abstractNumId w:val="5"/>
  </w:num>
  <w:num w:numId="3">
    <w:abstractNumId w:val="4"/>
  </w:num>
  <w:num w:numId="4">
    <w:abstractNumId w:val="7"/>
  </w:num>
  <w:num w:numId="5">
    <w:abstractNumId w:val="11"/>
  </w:num>
  <w:num w:numId="6">
    <w:abstractNumId w:val="3"/>
  </w:num>
  <w:num w:numId="7">
    <w:abstractNumId w:val="10"/>
  </w:num>
  <w:num w:numId="8">
    <w:abstractNumId w:val="8"/>
  </w:num>
  <w:num w:numId="9">
    <w:abstractNumId w:val="6"/>
  </w:num>
  <w:num w:numId="10">
    <w:abstractNumId w:val="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94B0F"/>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43308A"/>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0B36B1"/>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C64B0"/>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9C3256"/>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555E8B"/>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2024-10-07T02:11:40Z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